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216483</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requirements for inter-RAT measurement without gap</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6.10.3.2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95 meeting, a WID[1] for Rel-18 was approved </w:t>
      </w:r>
      <w:r>
        <w:rPr>
          <w:rFonts w:hint="eastAsia"/>
          <w:lang w:val="en-US" w:eastAsia="zh-CN"/>
        </w:rPr>
        <w:t>to identify further enhancement on NR and MR-DC Measurement Gaps and Measurements without Gaps. Two aspects were included by this WID. The 1</w:t>
      </w:r>
      <w:r>
        <w:rPr>
          <w:rFonts w:hint="eastAsia"/>
          <w:vertAlign w:val="superscript"/>
          <w:lang w:val="en-US" w:eastAsia="zh-CN"/>
        </w:rPr>
        <w:t>st</w:t>
      </w:r>
      <w:r>
        <w:rPr>
          <w:rFonts w:hint="eastAsia"/>
          <w:lang w:val="en-US" w:eastAsia="zh-CN"/>
        </w:rPr>
        <w:t xml:space="preserve"> aspect oriented towards the joint consideration of pre-configured MGs, concurrent MGs and NCSG. We discuss this in another document. The 2</w:t>
      </w:r>
      <w:r>
        <w:rPr>
          <w:rFonts w:hint="eastAsia"/>
          <w:vertAlign w:val="superscript"/>
          <w:lang w:val="en-US" w:eastAsia="zh-CN"/>
        </w:rPr>
        <w:t>nd</w:t>
      </w:r>
      <w:r>
        <w:rPr>
          <w:rFonts w:hint="eastAsia"/>
          <w:lang w:val="en-US" w:eastAsia="zh-CN"/>
        </w:rPr>
        <w:t xml:space="preserve"> aspect focus on RRM measurements without gap. For this aspect,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120"/>
              <w:ind w:left="720" w:leftChars="0"/>
              <w:rPr>
                <w:rFonts w:eastAsia="Batang"/>
                <w:lang w:val="en-US"/>
              </w:rPr>
            </w:pPr>
            <w:r>
              <w:rPr>
                <w:rFonts w:eastAsia="Batang"/>
                <w:lang w:val="en-US"/>
              </w:rPr>
              <w:t>Define RRM requirements for measurement without gaps for the following cases</w:t>
            </w:r>
          </w:p>
          <w:p>
            <w:pPr>
              <w:numPr>
                <w:ilvl w:val="1"/>
                <w:numId w:val="5"/>
              </w:numPr>
              <w:spacing w:after="120"/>
              <w:rPr>
                <w:lang w:eastAsia="zh-TW"/>
              </w:rPr>
            </w:pPr>
            <w:r>
              <w:rPr>
                <w:lang w:eastAsia="zh-TW"/>
              </w:rPr>
              <w:t>NR SSB-based inter-frequency and intra-frequency measurements without gaps for UEs reporting NeedForGapsInfoNR IE [RAN4]</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Study whether the additional interruption is allowed when UE reporting ‘NeedForGapsInfoNR'. Further define the interruption length, occasion and ratio, if the interruption is allowed</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Define related requirements, such as CSSF, measurement period, scheduling restriction etc.</w:t>
            </w:r>
          </w:p>
          <w:p>
            <w:pPr>
              <w:numPr>
                <w:ilvl w:val="1"/>
                <w:numId w:val="5"/>
              </w:numPr>
              <w:spacing w:after="120"/>
              <w:rPr>
                <w:lang w:eastAsia="zh-TW"/>
              </w:rPr>
            </w:pPr>
            <w:r>
              <w:rPr>
                <w:lang w:eastAsia="zh-TW"/>
              </w:rPr>
              <w:t>Inter-RAT measurements without gaps [RAN4]</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Inter-RAT NR measurements</w:t>
            </w:r>
          </w:p>
          <w:p>
            <w:pPr>
              <w:numPr>
                <w:ilvl w:val="2"/>
                <w:numId w:val="5"/>
              </w:numPr>
              <w:spacing w:after="120"/>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0"/>
                <w:sz w:val="20"/>
                <w:szCs w:val="24"/>
                <w:lang w:val="en-US" w:eastAsia="zh-TW" w:bidi="ar-SA"/>
              </w:rPr>
              <w:t>Inter-RAT LTE measurement</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recent RAN plenary 97 meeting, a revised WID[2] was approved but without any modification for this topic.</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During 104 meeting, RAN4 has some general discussion around measurement without gap. Multiple issues were discussed and many candidate options were proposed in [3]. In this document, we provide some further analysis for  inter-RAT measurements without gaps.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scope of the WID, both inter-RAT NR and inter-RAT LTE are covered by this WID. As referred by multiple companies, in fact, inter-RAT NR has already been supported in NeedForGap and NCSG, and inter-RAT LTE has been supported in R17 NCSG. So regarding to inter-RAT NR, it needs to be identified which mechanism can be as a reference, NeedForGap or NCSG. And regarding to inter-RAT LTE, of course R17 NCSG can be a baseline.</w:t>
      </w:r>
    </w:p>
    <w:p>
      <w:pPr>
        <w:pStyle w:val="8"/>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[3], it has been approved that LTE (or NR) SA case should be prioritized when discussing inter-RAT NR (or LTE) measurements. Whether extent to MR-DC case, it is still FFS. In our view, we suggest MR-DC case can be deprioritized since of uncertain active BWP information exchange between MN and SN. Generally the main condition whether UE can support inter-RAT measurement without gap is whether the bandwidth of measurement RS is totally covered by the active BWP. But dynamic active BWP switching is possible, so it is hard to exchange the real-time active BWP information between MN and SN. Due to without the accurate active BWP information of SN, it is hard for MN to determine the configuration of MG. So the MR-DC case can be deprioritized for both inter-RAT NR and inter-RAT LTE.</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MR-DC case can be deprioritized for both inter-RAT NR and inter-RAT LTE.</w:t>
      </w:r>
    </w:p>
    <w:p>
      <w:pPr>
        <w:pStyle w:val="8"/>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issue related to same of different numerology was proposed by some company in last meeting. We believe the discussion on this issue is meaningful since NR supports multiple types of numerology, while LTE only support single 15 kHz. So the mixed numerology scenario for inter-RAT is very possible and perhaps inevitable. So we believe the same numerology and mixed numerology should both be supported for inter-RAT measurement without gap.</w:t>
      </w:r>
    </w:p>
    <w:p>
      <w:pPr>
        <w:pStyle w:val="8"/>
        <w:numPr>
          <w:ilvl w:val="0"/>
          <w:numId w:val="0"/>
        </w:numPr>
        <w:ind w:left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2: Since of the mixed numerology scenario for inter-RAT is very possible and perhaps inevitable, we believe the same numerology and mixed numerology should both be supported for inter-RAT measurement without gap.</w:t>
      </w:r>
    </w:p>
    <w:p>
      <w:pPr>
        <w:pStyle w:val="8"/>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fact, during R17 NCSG, the NeedForNCSG has considered E-UTRA. Which can be referenced when we considering NeedForGap for E-UTRA. The UE report is defined as follows in NCSG:</w:t>
      </w:r>
    </w:p>
    <w:p>
      <w:pPr>
        <w:pStyle w:val="56"/>
        <w:rPr>
          <w:sz w:val="15"/>
          <w:szCs w:val="15"/>
        </w:rPr>
      </w:pPr>
      <w:r>
        <w:rPr>
          <w:sz w:val="15"/>
          <w:szCs w:val="15"/>
        </w:rPr>
        <w:t xml:space="preserve">RRCReconfigurationComplete-v1700-IEs ::=    </w:t>
      </w:r>
      <w:r>
        <w:rPr>
          <w:color w:val="993366"/>
          <w:sz w:val="15"/>
          <w:szCs w:val="15"/>
        </w:rPr>
        <w:t>SEQUENCE</w:t>
      </w:r>
      <w:r>
        <w:rPr>
          <w:sz w:val="15"/>
          <w:szCs w:val="15"/>
        </w:rPr>
        <w:t xml:space="preserve"> {</w:t>
      </w:r>
    </w:p>
    <w:p>
      <w:pPr>
        <w:pStyle w:val="56"/>
        <w:rPr>
          <w:sz w:val="15"/>
          <w:szCs w:val="15"/>
        </w:rPr>
      </w:pPr>
      <w:r>
        <w:rPr>
          <w:sz w:val="15"/>
          <w:szCs w:val="15"/>
        </w:rPr>
        <w:t xml:space="preserve">    needForGapNCSG-InfoNR-r17           NeedForGapNCSG-InfoNR-r17          </w:t>
      </w:r>
      <w:r>
        <w:rPr>
          <w:color w:val="993366"/>
          <w:sz w:val="15"/>
          <w:szCs w:val="15"/>
        </w:rPr>
        <w:t>OPTIONAL</w:t>
      </w:r>
      <w:r>
        <w:rPr>
          <w:sz w:val="15"/>
          <w:szCs w:val="15"/>
        </w:rPr>
        <w:t>,</w:t>
      </w:r>
    </w:p>
    <w:p>
      <w:pPr>
        <w:pStyle w:val="56"/>
        <w:rPr>
          <w:sz w:val="15"/>
          <w:szCs w:val="15"/>
        </w:rPr>
      </w:pPr>
      <w:r>
        <w:rPr>
          <w:sz w:val="15"/>
          <w:szCs w:val="15"/>
        </w:rPr>
        <w:t xml:space="preserve">    needForGapNCSG-InfoEUTRA-r17       NeedForGapNCSG-InfoEUTRA-r17     </w:t>
      </w:r>
      <w:r>
        <w:rPr>
          <w:rFonts w:hint="eastAsia" w:eastAsia="宋体"/>
          <w:sz w:val="15"/>
          <w:szCs w:val="15"/>
          <w:lang w:val="en-US" w:eastAsia="zh-CN"/>
        </w:rPr>
        <w:t xml:space="preserve"> </w:t>
      </w:r>
      <w:r>
        <w:rPr>
          <w:sz w:val="15"/>
          <w:szCs w:val="15"/>
        </w:rPr>
        <w:t xml:space="preserve"> </w:t>
      </w:r>
      <w:r>
        <w:rPr>
          <w:color w:val="993366"/>
          <w:sz w:val="15"/>
          <w:szCs w:val="15"/>
        </w:rPr>
        <w:t>OPTIONAL</w:t>
      </w:r>
      <w:r>
        <w:rPr>
          <w:sz w:val="15"/>
          <w:szCs w:val="15"/>
        </w:rPr>
        <w:t>,</w:t>
      </w:r>
    </w:p>
    <w:p>
      <w:pPr>
        <w:pStyle w:val="56"/>
        <w:rPr>
          <w:sz w:val="15"/>
          <w:szCs w:val="15"/>
        </w:rPr>
      </w:pPr>
      <w:r>
        <w:rPr>
          <w:sz w:val="15"/>
          <w:szCs w:val="15"/>
        </w:rPr>
        <w:t xml:space="preserve">    selectedCondRRCReconfig-r17        CondReconfigId-r16                   </w:t>
      </w:r>
      <w:r>
        <w:rPr>
          <w:color w:val="993366"/>
          <w:sz w:val="15"/>
          <w:szCs w:val="15"/>
        </w:rPr>
        <w:t>OPTIONAL</w:t>
      </w:r>
      <w:r>
        <w:rPr>
          <w:sz w:val="15"/>
          <w:szCs w:val="15"/>
        </w:rPr>
        <w:t>,</w:t>
      </w:r>
    </w:p>
    <w:p>
      <w:pPr>
        <w:pStyle w:val="56"/>
        <w:rPr>
          <w:sz w:val="15"/>
          <w:szCs w:val="15"/>
        </w:rPr>
      </w:pPr>
      <w:r>
        <w:rPr>
          <w:sz w:val="15"/>
          <w:szCs w:val="15"/>
        </w:rPr>
        <w:t xml:space="preserve">    nonCriticalExtension                </w:t>
      </w:r>
      <w:r>
        <w:rPr>
          <w:color w:val="993366"/>
          <w:sz w:val="15"/>
          <w:szCs w:val="15"/>
        </w:rPr>
        <w:t>SEQUENCE</w:t>
      </w:r>
      <w:r>
        <w:rPr>
          <w:sz w:val="15"/>
          <w:szCs w:val="15"/>
        </w:rPr>
        <w:t xml:space="preserve"> {}    </w:t>
      </w:r>
      <w:r>
        <w:rPr>
          <w:rFonts w:hint="eastAsia" w:eastAsia="宋体"/>
          <w:sz w:val="15"/>
          <w:szCs w:val="15"/>
          <w:lang w:val="en-US" w:eastAsia="zh-CN"/>
        </w:rPr>
        <w:t xml:space="preserve"> </w:t>
      </w:r>
      <w:r>
        <w:rPr>
          <w:sz w:val="15"/>
          <w:szCs w:val="15"/>
        </w:rPr>
        <w:t xml:space="preserve">                       </w:t>
      </w:r>
      <w:r>
        <w:rPr>
          <w:color w:val="993366"/>
          <w:sz w:val="15"/>
          <w:szCs w:val="15"/>
        </w:rPr>
        <w:t>OPTIONAL</w:t>
      </w:r>
    </w:p>
    <w:p>
      <w:pPr>
        <w:pStyle w:val="56"/>
        <w:rPr>
          <w:sz w:val="15"/>
          <w:szCs w:val="15"/>
        </w:rPr>
      </w:pPr>
      <w:r>
        <w:rPr>
          <w:sz w:val="15"/>
          <w:szCs w:val="15"/>
        </w:rPr>
        <w:t>}</w:t>
      </w:r>
    </w:p>
    <w:p>
      <w:pPr>
        <w:pStyle w:val="34"/>
        <w:rPr>
          <w:b/>
          <w:bCs/>
          <w:i/>
          <w:iCs/>
          <w:sz w:val="15"/>
          <w:szCs w:val="15"/>
        </w:rPr>
      </w:pPr>
      <w:r>
        <w:rPr>
          <w:b/>
          <w:bCs/>
          <w:i/>
          <w:iCs/>
          <w:sz w:val="15"/>
          <w:szCs w:val="15"/>
        </w:rPr>
        <w:t>needForGapNCSG-InfoEUTRA</w:t>
      </w:r>
    </w:p>
    <w:p>
      <w:pPr>
        <w:pStyle w:val="8"/>
        <w:rPr>
          <w:rFonts w:hint="default" w:eastAsia="宋体"/>
          <w:color w:val="auto"/>
          <w:sz w:val="20"/>
          <w:szCs w:val="20"/>
          <w:highlight w:val="none"/>
          <w:lang w:val="en-US" w:eastAsia="zh-CN"/>
        </w:rPr>
      </w:pPr>
      <w:r>
        <w:rPr>
          <w:sz w:val="15"/>
          <w:szCs w:val="15"/>
        </w:rPr>
        <w:t>This field is used to indicate the measurement gap and NCSG requirement information of the UE for E</w:t>
      </w:r>
      <w:r>
        <w:rPr>
          <w:sz w:val="15"/>
          <w:szCs w:val="15"/>
        </w:rPr>
        <w:noBreakHyphen/>
      </w:r>
      <w:r>
        <w:rPr>
          <w:sz w:val="15"/>
          <w:szCs w:val="15"/>
        </w:rPr>
        <w:t>UTRA target bands.</w:t>
      </w:r>
      <w:r>
        <w:rPr>
          <w:rFonts w:hint="eastAsia"/>
          <w:sz w:val="15"/>
          <w:szCs w:val="15"/>
          <w:lang w:val="en-US" w:eastAsia="zh-CN"/>
        </w:rPr>
        <w:t xml:space="preserve"> </w:t>
      </w:r>
    </w:p>
    <w:p>
      <w:pPr>
        <w:pStyle w:val="34"/>
        <w:rPr>
          <w:b/>
          <w:bCs/>
          <w:i/>
          <w:iCs/>
          <w:sz w:val="15"/>
          <w:szCs w:val="15"/>
        </w:rPr>
      </w:pPr>
      <w:r>
        <w:rPr>
          <w:b/>
          <w:bCs/>
          <w:i/>
          <w:iCs/>
          <w:sz w:val="15"/>
          <w:szCs w:val="15"/>
        </w:rPr>
        <w:t>needForGapNCSG-InfoNR</w:t>
      </w:r>
    </w:p>
    <w:p>
      <w:pPr>
        <w:pStyle w:val="8"/>
        <w:rPr>
          <w:rFonts w:hint="eastAsia" w:eastAsia="宋体"/>
          <w:lang w:val="en-US" w:eastAsia="zh-CN"/>
        </w:rPr>
      </w:pPr>
      <w:r>
        <w:rPr>
          <w:sz w:val="15"/>
          <w:szCs w:val="15"/>
        </w:rPr>
        <w:t>This field is used to indicate the measurement gap and NCSG requirement information of the UE for NR target bands.</w:t>
      </w:r>
      <w:r>
        <w:rPr>
          <w:rFonts w:hint="eastAsia"/>
          <w:sz w:val="15"/>
          <w:szCs w:val="15"/>
          <w:lang w:val="en-US" w:eastAsia="zh-CN"/>
        </w:rPr>
        <w:t xml:space="preserve"> </w:t>
      </w:r>
    </w:p>
    <w:p>
      <w:pPr>
        <w:pStyle w:val="8"/>
        <w:jc w:val="both"/>
        <w:rPr>
          <w:rFonts w:hint="eastAsia" w:eastAsia="宋体"/>
          <w:lang w:val="en-US" w:eastAsia="zh-CN"/>
        </w:rPr>
      </w:pPr>
      <w:r>
        <w:rPr>
          <w:rFonts w:hint="eastAsia" w:eastAsia="宋体"/>
          <w:lang w:val="en-US" w:eastAsia="zh-CN"/>
        </w:rPr>
        <w:t>Further more, it should be noted that during R17, the NeedForGapNCSG has been decoupled with NCSG itself, i.e. a UE not capable of NCSG can also report NeedForNCSG-EUTRA-r17, of course only two status ‘gap’ and ‘nogap-noncsg’ are possible. So whether need to introduce NeedForGap-EUTRA report is uncertain.</w:t>
      </w:r>
    </w:p>
    <w:p>
      <w:pPr>
        <w:pStyle w:val="8"/>
        <w:rPr>
          <w:rFonts w:hint="eastAsia" w:eastAsia="宋体"/>
          <w:lang w:val="en-US" w:eastAsia="zh-CN"/>
        </w:rPr>
      </w:pPr>
      <w:r>
        <w:rPr>
          <w:rFonts w:hint="eastAsia" w:eastAsia="宋体" w:cs="Times New Roman"/>
          <w:b/>
          <w:bCs/>
          <w:color w:val="auto"/>
          <w:sz w:val="20"/>
          <w:szCs w:val="20"/>
          <w:highlight w:val="none"/>
          <w:lang w:val="en-US" w:eastAsia="zh-CN" w:bidi="ar-SA"/>
        </w:rPr>
        <w:t>Observation 1: During Rel-17 NCSG, the NeedForGapNCSG has been decoupled with NCSG itself.</w:t>
      </w:r>
    </w:p>
    <w:p>
      <w:pPr>
        <w:pStyle w:val="8"/>
        <w:jc w:val="both"/>
        <w:rPr>
          <w:rFonts w:hint="default" w:eastAsia="宋体"/>
          <w:lang w:val="en-US" w:eastAsia="zh-CN"/>
        </w:rPr>
      </w:pPr>
      <w:r>
        <w:rPr>
          <w:rFonts w:hint="eastAsia" w:eastAsia="宋体"/>
          <w:lang w:val="en-US" w:eastAsia="zh-CN"/>
        </w:rPr>
        <w:t>If UE reports ‘nogap-noncsg’ or ‘no-gap’ for an E-UTRA band, at the same time, the measurement RS of such E-UTRA band is fully contained in the active BWP, then UE can perform measurement without gap for this E-UTRA band. The requirements including interruption, measurement period, CSSF and scheduling restriction are similar as inter-f NeedForGap case.</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Re-using the UE reports defined in NCSG for E-UTRA bands to identify inter-RAT measurement with gap or without 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RRM requirements for measurement without gaps</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During Rel-17 NCSG, the NeedForGapNCSG has been decoupled with NCSG itself.</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MR-DC case can be deprioritized for both inter-RAT NR and inter-RAT LTE.</w:t>
      </w:r>
    </w:p>
    <w:p>
      <w:pPr>
        <w:pStyle w:val="8"/>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Since of the mixed numerology scenario for inter-RAT is very possible and perhaps inevitable, we believe the same numerology and mixed numerology should both be supported for inter-RAT measurement without gap.</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Re-using the UE reports defined in NCSG for E-UTRA bands to identify inter-RAT measurement with gap or without 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default"/>
          <w:color w:val="auto"/>
          <w:highlight w:val="none"/>
          <w:lang w:val="en-US" w:eastAsia="zh-CN"/>
        </w:rPr>
      </w:pPr>
      <w:r>
        <w:rPr>
          <w:rFonts w:hint="eastAsia"/>
          <w:lang w:val="en-US" w:eastAsia="zh-CN"/>
        </w:rPr>
        <w:t>RP-22</w:t>
      </w:r>
      <w:r>
        <w:rPr>
          <w:rFonts w:hint="eastAsia"/>
          <w:highlight w:val="none"/>
          <w:lang w:val="en-US" w:eastAsia="zh-CN"/>
        </w:rPr>
        <w:t>1018</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Further Enhancements on NR and MR-DC Measurement Gaps and Measurements without Gaps</w:t>
      </w:r>
      <w:r>
        <w:rPr>
          <w:rFonts w:hint="default"/>
          <w:color w:val="auto"/>
          <w:highlight w:val="none"/>
          <w:lang w:val="en-US" w:eastAsia="zh-CN"/>
        </w:rPr>
        <w:t>”</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[2] RP-222337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R4-2214346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A530"/>
    <w:multiLevelType w:val="singleLevel"/>
    <w:tmpl w:val="084CA530"/>
    <w:lvl w:ilvl="0" w:tentative="0">
      <w:start w:val="2"/>
      <w:numFmt w:val="decimal"/>
      <w:suff w:val="space"/>
      <w:lvlText w:val="(%1)"/>
      <w:lvlJc w:val="left"/>
    </w:lvl>
  </w:abstractNum>
  <w:abstractNum w:abstractNumId="1">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D0302EF"/>
    <w:multiLevelType w:val="singleLevel"/>
    <w:tmpl w:val="3D0302EF"/>
    <w:lvl w:ilvl="0" w:tentative="0">
      <w:start w:val="1"/>
      <w:numFmt w:val="decimal"/>
      <w:suff w:val="space"/>
      <w:lvlText w:val="[%1]"/>
      <w:lvlJc w:val="left"/>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98702E"/>
    <w:rsid w:val="028B6A1D"/>
    <w:rsid w:val="028F1C3E"/>
    <w:rsid w:val="037D0CB3"/>
    <w:rsid w:val="03D4720A"/>
    <w:rsid w:val="04654053"/>
    <w:rsid w:val="04793516"/>
    <w:rsid w:val="047A3CFF"/>
    <w:rsid w:val="05317828"/>
    <w:rsid w:val="05477E90"/>
    <w:rsid w:val="05BB5AB9"/>
    <w:rsid w:val="05C42923"/>
    <w:rsid w:val="06963BA6"/>
    <w:rsid w:val="06965F3C"/>
    <w:rsid w:val="07C47F11"/>
    <w:rsid w:val="07CD3CDD"/>
    <w:rsid w:val="0855671D"/>
    <w:rsid w:val="089009EB"/>
    <w:rsid w:val="09716BCA"/>
    <w:rsid w:val="09D64B23"/>
    <w:rsid w:val="09E644B8"/>
    <w:rsid w:val="0B12013A"/>
    <w:rsid w:val="0B3D3C2F"/>
    <w:rsid w:val="0BB0429A"/>
    <w:rsid w:val="0BFF5FC6"/>
    <w:rsid w:val="0C394019"/>
    <w:rsid w:val="10997F43"/>
    <w:rsid w:val="10DE7BAE"/>
    <w:rsid w:val="120774A3"/>
    <w:rsid w:val="12580C13"/>
    <w:rsid w:val="14006D19"/>
    <w:rsid w:val="1481754F"/>
    <w:rsid w:val="148F5721"/>
    <w:rsid w:val="14AC57CD"/>
    <w:rsid w:val="14D86281"/>
    <w:rsid w:val="15ED3E9B"/>
    <w:rsid w:val="164514BE"/>
    <w:rsid w:val="170F06AA"/>
    <w:rsid w:val="17225508"/>
    <w:rsid w:val="180A6E32"/>
    <w:rsid w:val="183F2CD2"/>
    <w:rsid w:val="1856323E"/>
    <w:rsid w:val="18AF55E3"/>
    <w:rsid w:val="18B1519A"/>
    <w:rsid w:val="18CD0507"/>
    <w:rsid w:val="195D7D48"/>
    <w:rsid w:val="1AD01A1B"/>
    <w:rsid w:val="1B377224"/>
    <w:rsid w:val="1B61065A"/>
    <w:rsid w:val="1BBF3927"/>
    <w:rsid w:val="1C177B08"/>
    <w:rsid w:val="1C9001C6"/>
    <w:rsid w:val="1CBA2101"/>
    <w:rsid w:val="1D0573D7"/>
    <w:rsid w:val="1D153DC4"/>
    <w:rsid w:val="1D223E0B"/>
    <w:rsid w:val="1E132F88"/>
    <w:rsid w:val="1E2867E9"/>
    <w:rsid w:val="1E853F6F"/>
    <w:rsid w:val="1E9C7BCC"/>
    <w:rsid w:val="1ECC1E3C"/>
    <w:rsid w:val="21014C39"/>
    <w:rsid w:val="21045DF0"/>
    <w:rsid w:val="21244EB1"/>
    <w:rsid w:val="213964D8"/>
    <w:rsid w:val="21595D04"/>
    <w:rsid w:val="21B32AFC"/>
    <w:rsid w:val="21F13629"/>
    <w:rsid w:val="2305377E"/>
    <w:rsid w:val="24122135"/>
    <w:rsid w:val="24D4257E"/>
    <w:rsid w:val="2572202B"/>
    <w:rsid w:val="2605683C"/>
    <w:rsid w:val="26BB1419"/>
    <w:rsid w:val="27B748AA"/>
    <w:rsid w:val="27CB4CB9"/>
    <w:rsid w:val="281C2F58"/>
    <w:rsid w:val="29642C4B"/>
    <w:rsid w:val="2A34628C"/>
    <w:rsid w:val="2A724D05"/>
    <w:rsid w:val="2A7E505C"/>
    <w:rsid w:val="2AC85686"/>
    <w:rsid w:val="2AD04B5F"/>
    <w:rsid w:val="2B0A0DAF"/>
    <w:rsid w:val="2B0F49CC"/>
    <w:rsid w:val="2BC05B2C"/>
    <w:rsid w:val="2BD617C5"/>
    <w:rsid w:val="2C112837"/>
    <w:rsid w:val="2E014790"/>
    <w:rsid w:val="2EE77680"/>
    <w:rsid w:val="2F2F0FC8"/>
    <w:rsid w:val="301C6BB6"/>
    <w:rsid w:val="30723652"/>
    <w:rsid w:val="319708F2"/>
    <w:rsid w:val="31B14C9E"/>
    <w:rsid w:val="33C522D7"/>
    <w:rsid w:val="34807672"/>
    <w:rsid w:val="35B06C6A"/>
    <w:rsid w:val="36941AA2"/>
    <w:rsid w:val="36D37423"/>
    <w:rsid w:val="379D23F9"/>
    <w:rsid w:val="3A185287"/>
    <w:rsid w:val="3A1F46B8"/>
    <w:rsid w:val="3A692CD0"/>
    <w:rsid w:val="3B270929"/>
    <w:rsid w:val="3B3D5571"/>
    <w:rsid w:val="3B673620"/>
    <w:rsid w:val="3B9A1F29"/>
    <w:rsid w:val="3CE4646B"/>
    <w:rsid w:val="3D5E7AA8"/>
    <w:rsid w:val="3D6F2596"/>
    <w:rsid w:val="3DF74FA8"/>
    <w:rsid w:val="3ED5235A"/>
    <w:rsid w:val="405F175E"/>
    <w:rsid w:val="40C765F3"/>
    <w:rsid w:val="42F869D2"/>
    <w:rsid w:val="43214064"/>
    <w:rsid w:val="43553536"/>
    <w:rsid w:val="44972678"/>
    <w:rsid w:val="451632B9"/>
    <w:rsid w:val="45906394"/>
    <w:rsid w:val="45F60A50"/>
    <w:rsid w:val="46142D0C"/>
    <w:rsid w:val="46970A81"/>
    <w:rsid w:val="46B036BF"/>
    <w:rsid w:val="47282363"/>
    <w:rsid w:val="49A12CBB"/>
    <w:rsid w:val="49DC4EAC"/>
    <w:rsid w:val="49E55BC5"/>
    <w:rsid w:val="4B405893"/>
    <w:rsid w:val="4C1C63D6"/>
    <w:rsid w:val="4C864A35"/>
    <w:rsid w:val="4D3229FD"/>
    <w:rsid w:val="4E015C76"/>
    <w:rsid w:val="4E310026"/>
    <w:rsid w:val="4E4A2325"/>
    <w:rsid w:val="4EF13342"/>
    <w:rsid w:val="501A6C55"/>
    <w:rsid w:val="51B14BED"/>
    <w:rsid w:val="52526454"/>
    <w:rsid w:val="525C1CEF"/>
    <w:rsid w:val="528B5767"/>
    <w:rsid w:val="52A77D4F"/>
    <w:rsid w:val="52D33625"/>
    <w:rsid w:val="53A3105E"/>
    <w:rsid w:val="53C64B93"/>
    <w:rsid w:val="548A6C60"/>
    <w:rsid w:val="555E3423"/>
    <w:rsid w:val="55B1164D"/>
    <w:rsid w:val="55B4735E"/>
    <w:rsid w:val="55BB221D"/>
    <w:rsid w:val="56371459"/>
    <w:rsid w:val="56484633"/>
    <w:rsid w:val="58D0053D"/>
    <w:rsid w:val="598C40A0"/>
    <w:rsid w:val="59DA647E"/>
    <w:rsid w:val="5A556E1A"/>
    <w:rsid w:val="5C1166E3"/>
    <w:rsid w:val="5D8444D3"/>
    <w:rsid w:val="5E2864D0"/>
    <w:rsid w:val="5E494511"/>
    <w:rsid w:val="5EB44FC0"/>
    <w:rsid w:val="5FBA395F"/>
    <w:rsid w:val="60EC2CBA"/>
    <w:rsid w:val="61CC2D28"/>
    <w:rsid w:val="630C63B9"/>
    <w:rsid w:val="635902CD"/>
    <w:rsid w:val="64706BBE"/>
    <w:rsid w:val="64F2095B"/>
    <w:rsid w:val="65D63F94"/>
    <w:rsid w:val="66547455"/>
    <w:rsid w:val="67A858DB"/>
    <w:rsid w:val="67FE4166"/>
    <w:rsid w:val="68C401C3"/>
    <w:rsid w:val="69A833BD"/>
    <w:rsid w:val="6D566F0F"/>
    <w:rsid w:val="6D836F72"/>
    <w:rsid w:val="6DDE3DAF"/>
    <w:rsid w:val="6E3241BE"/>
    <w:rsid w:val="6EB97A9D"/>
    <w:rsid w:val="6EF10A90"/>
    <w:rsid w:val="6FFF1868"/>
    <w:rsid w:val="715F4C2D"/>
    <w:rsid w:val="722F78FB"/>
    <w:rsid w:val="723D67C5"/>
    <w:rsid w:val="72BF60CA"/>
    <w:rsid w:val="72F41282"/>
    <w:rsid w:val="733D0D32"/>
    <w:rsid w:val="73D411F1"/>
    <w:rsid w:val="753811DE"/>
    <w:rsid w:val="75BE67D4"/>
    <w:rsid w:val="75C2004C"/>
    <w:rsid w:val="75C759C1"/>
    <w:rsid w:val="762D64F3"/>
    <w:rsid w:val="767E7EFF"/>
    <w:rsid w:val="775B4604"/>
    <w:rsid w:val="77C067C3"/>
    <w:rsid w:val="78911E31"/>
    <w:rsid w:val="7922350F"/>
    <w:rsid w:val="792B5470"/>
    <w:rsid w:val="79446BFD"/>
    <w:rsid w:val="79A54E28"/>
    <w:rsid w:val="7A9367CB"/>
    <w:rsid w:val="7AF22571"/>
    <w:rsid w:val="7B69224B"/>
    <w:rsid w:val="7BE80F25"/>
    <w:rsid w:val="7C1C35A7"/>
    <w:rsid w:val="7C45431D"/>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2022-09-30T14:14:58Z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